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20F7C" w14:textId="60F261B0" w:rsidR="00FD28A4" w:rsidRDefault="00A66E07" w:rsidP="00A77B82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18C4E0" wp14:editId="4D9A963F">
            <wp:simplePos x="0" y="0"/>
            <wp:positionH relativeFrom="page">
              <wp:align>right</wp:align>
            </wp:positionH>
            <wp:positionV relativeFrom="page">
              <wp:posOffset>-219075</wp:posOffset>
            </wp:positionV>
            <wp:extent cx="7772400" cy="1581912"/>
            <wp:effectExtent l="0" t="0" r="0" b="0"/>
            <wp:wrapTopAndBottom/>
            <wp:docPr id="6367" name="Picture 6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" name="Picture 63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58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F847B0" w14:textId="77777777" w:rsidR="00FD28A4" w:rsidRPr="00FD28A4" w:rsidRDefault="00FD28A4" w:rsidP="00FD28A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To: 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Talladega College Faculty &amp; Staff</w:t>
      </w:r>
    </w:p>
    <w:p w14:paraId="4FE2CC0E" w14:textId="77777777" w:rsidR="00FD28A4" w:rsidRPr="00FD28A4" w:rsidRDefault="00FD28A4" w:rsidP="00FD28A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From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: Carmen Burns Accounts Payable Coordinator</w:t>
      </w:r>
    </w:p>
    <w:p w14:paraId="4ABB19DE" w14:textId="77777777" w:rsidR="00FD28A4" w:rsidRPr="00FD28A4" w:rsidRDefault="00FD28A4" w:rsidP="00FD28A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Date: </w:t>
      </w:r>
      <w:r w:rsidR="00485747">
        <w:rPr>
          <w:rFonts w:ascii="Times New Roman" w:eastAsiaTheme="minorHAnsi" w:hAnsi="Times New Roman" w:cs="Times New Roman"/>
          <w:color w:val="auto"/>
          <w:sz w:val="24"/>
          <w:szCs w:val="24"/>
        </w:rPr>
        <w:t>July 1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, 2019</w:t>
      </w:r>
    </w:p>
    <w:p w14:paraId="06DC245B" w14:textId="77777777" w:rsidR="00FD28A4" w:rsidRPr="00FD28A4" w:rsidRDefault="00FD28A4" w:rsidP="00FD28A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Subject: 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Guidelines for Travel, Supply, and Reimbursement Requests</w:t>
      </w:r>
    </w:p>
    <w:p w14:paraId="466B6E35" w14:textId="77777777" w:rsidR="00FD28A4" w:rsidRPr="00FD28A4" w:rsidRDefault="00FD28A4" w:rsidP="00FD28A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226FB51B" w14:textId="77777777" w:rsidR="00315AC4" w:rsidRDefault="00FD28A4" w:rsidP="00FD28A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E</w:t>
      </w:r>
      <w:r w:rsidR="00315AC4">
        <w:rPr>
          <w:rFonts w:ascii="Times New Roman" w:eastAsiaTheme="minorHAnsi" w:hAnsi="Times New Roman" w:cs="Times New Roman"/>
          <w:color w:val="auto"/>
          <w:sz w:val="24"/>
          <w:szCs w:val="24"/>
        </w:rPr>
        <w:t>ffective immediately, at least 10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days prior to the anticipated travel, supply needs, or any reimburse</w:t>
      </w:r>
      <w:r w:rsidR="005D6687">
        <w:rPr>
          <w:rFonts w:ascii="Times New Roman" w:eastAsiaTheme="minorHAnsi" w:hAnsi="Times New Roman" w:cs="Times New Roman"/>
          <w:color w:val="auto"/>
          <w:sz w:val="24"/>
          <w:szCs w:val="24"/>
        </w:rPr>
        <w:t>ment requests by personnel, an Expenditure F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orm (E-Form</w:t>
      </w:r>
      <w:r w:rsidR="005D668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located on the Talladega College website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)</w:t>
      </w:r>
      <w:r w:rsidR="005D668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or Travel Authorization</w:t>
      </w:r>
      <w:r w:rsidR="0069615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Form (this form will be emailed to you along with the Guidelines), must be created, 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signed and delivered to the Department Head and Vice President for approval.</w:t>
      </w:r>
      <w:r w:rsidR="00315AC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315AC4" w:rsidRPr="00315AC4">
        <w:rPr>
          <w:rFonts w:ascii="Times New Roman" w:eastAsiaTheme="minorHAnsi" w:hAnsi="Times New Roman" w:cs="Times New Roman"/>
          <w:color w:val="auto"/>
          <w:sz w:val="24"/>
          <w:szCs w:val="24"/>
        </w:rPr>
        <w:t>Request to pay registration fees in advance should be made twenty (20) days in advance of the conference date by submitting a requisition (Literature concerning the conference and fee amounts must accompany the requisitions).</w:t>
      </w:r>
    </w:p>
    <w:p w14:paraId="32839C15" w14:textId="77777777" w:rsidR="00696155" w:rsidRDefault="00696155" w:rsidP="00FD28A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7E07B235" w14:textId="77777777" w:rsidR="00FD28A4" w:rsidRDefault="00FD28A4" w:rsidP="00FD28A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Once the form has been approved, an electronic requisition must be done (via </w:t>
      </w:r>
      <w:r w:rsidRPr="00FD28A4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Jenzabar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) and the description of request must be clear on the electronic requisition. Afterwards, Accounts Payable will create a Purchase Order</w:t>
      </w:r>
      <w:r w:rsidR="00CD016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(P.O)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based on the description of the electronic requisition.</w:t>
      </w:r>
      <w:r w:rsidR="00CD0163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Once you receive the Purchase Order (P.O) number</w:t>
      </w:r>
      <w:r w:rsidR="00696155">
        <w:rPr>
          <w:rFonts w:ascii="Times New Roman" w:eastAsiaTheme="minorHAnsi" w:hAnsi="Times New Roman" w:cs="Times New Roman"/>
          <w:color w:val="auto"/>
          <w:sz w:val="24"/>
          <w:szCs w:val="24"/>
        </w:rPr>
        <w:t>,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="00D72E10">
        <w:rPr>
          <w:rFonts w:ascii="Times New Roman" w:eastAsiaTheme="minorHAnsi" w:hAnsi="Times New Roman" w:cs="Times New Roman"/>
          <w:color w:val="auto"/>
          <w:sz w:val="24"/>
          <w:szCs w:val="24"/>
        </w:rPr>
        <w:t>the purchase can be made. Please make a copy of all packets (requisition requests) for your own records.</w:t>
      </w:r>
      <w:r w:rsidR="0069615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Please do not expect Accounts Payable to search for packets for copying.</w:t>
      </w:r>
      <w:r w:rsidR="00D72E10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The requester is responsible for requesting a W-9 from any new vendor. This package must be ready for process upon Submission.</w:t>
      </w:r>
    </w:p>
    <w:p w14:paraId="084CA0A1" w14:textId="77777777" w:rsidR="00696155" w:rsidRPr="00FD28A4" w:rsidRDefault="00696155" w:rsidP="00FD28A4">
      <w:pPr>
        <w:spacing w:after="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7EBB0040" w14:textId="77777777" w:rsidR="00FD28A4" w:rsidRPr="00FD28A4" w:rsidRDefault="00315AC4" w:rsidP="00FD28A4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There will be no Purchase Orders issued unless permission is granted by </w:t>
      </w:r>
      <w:r w:rsidR="00175691">
        <w:rPr>
          <w:rFonts w:ascii="Times New Roman" w:eastAsiaTheme="minorHAnsi" w:hAnsi="Times New Roman" w:cs="Times New Roman"/>
          <w:color w:val="auto"/>
          <w:sz w:val="24"/>
          <w:szCs w:val="24"/>
        </w:rPr>
        <w:t>Vice President for Finance or Associate Vice President for Administration &amp; Finance/Controller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.</w:t>
      </w:r>
      <w:r w:rsidR="00FD28A4"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Failure to adhere to this requirement will result in the requester being held liable for the incurred expense.</w:t>
      </w:r>
    </w:p>
    <w:p w14:paraId="67058731" w14:textId="77777777" w:rsidR="00FD28A4" w:rsidRPr="00FD28A4" w:rsidRDefault="00CD0163" w:rsidP="00FD28A4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A requisition is a request to make a purchase. </w:t>
      </w:r>
      <w:r w:rsidR="00FD28A4"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A requisition will only be accepted if:</w:t>
      </w:r>
    </w:p>
    <w:p w14:paraId="5A204B06" w14:textId="77777777" w:rsidR="00FD28A4" w:rsidRPr="00FD28A4" w:rsidRDefault="00FD28A4" w:rsidP="00FD28A4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Proper approvals are present</w:t>
      </w:r>
    </w:p>
    <w:p w14:paraId="23EB186C" w14:textId="77777777" w:rsidR="00FD28A4" w:rsidRPr="00FD28A4" w:rsidRDefault="00FD28A4" w:rsidP="00FD28A4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Account codes are accurate and valid</w:t>
      </w:r>
    </w:p>
    <w:p w14:paraId="0D14A8A6" w14:textId="77777777" w:rsidR="00FD28A4" w:rsidRDefault="00FD28A4" w:rsidP="00FD28A4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Funds are available in the designated account</w:t>
      </w:r>
    </w:p>
    <w:p w14:paraId="6C96B1BB" w14:textId="77777777" w:rsidR="00CD0163" w:rsidRPr="00FD28A4" w:rsidRDefault="00CD0163" w:rsidP="00CD0163">
      <w:pPr>
        <w:ind w:left="720"/>
        <w:contextualSpacing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14:paraId="6C2D536F" w14:textId="77777777" w:rsidR="00FD28A4" w:rsidRPr="00FD28A4" w:rsidRDefault="00FD28A4" w:rsidP="00FD28A4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When a requisition is approved, it does not mean that a purchase should or can be made at that time. Requests can be approved, but will be delayed if cash is not available in the bank.</w:t>
      </w:r>
    </w:p>
    <w:p w14:paraId="21E6B6F2" w14:textId="77777777" w:rsidR="00FD28A4" w:rsidRDefault="00FD28A4" w:rsidP="00FD28A4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Request</w:t>
      </w:r>
      <w:r w:rsidR="00175691">
        <w:rPr>
          <w:rFonts w:ascii="Times New Roman" w:eastAsiaTheme="minorHAnsi" w:hAnsi="Times New Roman" w:cs="Times New Roman"/>
          <w:color w:val="auto"/>
          <w:sz w:val="24"/>
          <w:szCs w:val="24"/>
        </w:rPr>
        <w:t>s for travel must be submitted 10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days in advance. Requests to pay registration fees in advance should be made </w:t>
      </w:r>
      <w:r w:rsidR="00175691">
        <w:rPr>
          <w:rFonts w:ascii="Times New Roman" w:eastAsiaTheme="minorHAnsi" w:hAnsi="Times New Roman" w:cs="Times New Roman"/>
          <w:color w:val="auto"/>
          <w:sz w:val="24"/>
          <w:szCs w:val="24"/>
        </w:rPr>
        <w:t>20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days prior to the conference date. Literature concerning the conference and fee amounts must accompany the requisition, which includes a Travel Expense Statement.</w:t>
      </w:r>
    </w:p>
    <w:p w14:paraId="2B0531DD" w14:textId="77777777" w:rsidR="00D72E10" w:rsidRPr="00FD28A4" w:rsidRDefault="00D72E10" w:rsidP="00FD28A4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Paperwork for requests will be accepted Monday thru Friday only between the hours of 8:00 a.m. until 11:00 a.m. </w:t>
      </w:r>
    </w:p>
    <w:p w14:paraId="0156BDDC" w14:textId="4A5A72EA" w:rsidR="00FD28A4" w:rsidRPr="00FD28A4" w:rsidRDefault="00FD28A4" w:rsidP="00FD28A4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lastRenderedPageBreak/>
        <w:t xml:space="preserve">All </w:t>
      </w:r>
      <w:r w:rsidRPr="00FD28A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Receipts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must be given to Accounts Payable as well as a </w:t>
      </w:r>
      <w:r w:rsidRPr="00FD28A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Travel Expense Statement</w:t>
      </w: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supporting documentation of checks written. There will be no new checks written if all expense documentation from previous checks have not been submitted.</w:t>
      </w:r>
    </w:p>
    <w:p w14:paraId="77BE5AD7" w14:textId="77777777" w:rsidR="00FD28A4" w:rsidRPr="00FD28A4" w:rsidRDefault="00FD28A4" w:rsidP="00FD28A4">
      <w:pPr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Note: Checks are processed on</w:t>
      </w:r>
      <w:r w:rsidR="007806F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Wednesdays of every week. Student refunds are processed on</w:t>
      </w:r>
      <w:r w:rsidRPr="00FD28A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Tuesday and Thursday of each week</w:t>
      </w:r>
      <w:r w:rsidR="007806F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.</w:t>
      </w:r>
      <w:r w:rsidR="00260BF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</w:t>
      </w:r>
      <w:r w:rsidRPr="00FD28A4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Once your check request has been processed, it will be available for pick up in the Cashier’s Office located in the Business Office in Sumner Hall.</w:t>
      </w:r>
      <w:r w:rsidR="00260BF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Business Office hours are Monday thru Friday from 8:00 a.m. to 4:30 p.m. </w:t>
      </w:r>
    </w:p>
    <w:p w14:paraId="5CAFD39B" w14:textId="77777777" w:rsidR="00FD28A4" w:rsidRPr="00485747" w:rsidRDefault="00FD28A4" w:rsidP="00FD28A4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85747">
        <w:rPr>
          <w:rFonts w:ascii="Times New Roman" w:eastAsiaTheme="minorHAnsi" w:hAnsi="Times New Roman" w:cs="Times New Roman"/>
          <w:color w:val="auto"/>
          <w:sz w:val="24"/>
          <w:szCs w:val="24"/>
        </w:rPr>
        <w:t>The mileage rate is $.51</w:t>
      </w:r>
      <w:r w:rsidR="00175691" w:rsidRPr="0048574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per mile.</w:t>
      </w:r>
    </w:p>
    <w:p w14:paraId="6055BD18" w14:textId="77777777" w:rsidR="00980002" w:rsidRPr="00485747" w:rsidRDefault="00980002" w:rsidP="00FD28A4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485747">
        <w:rPr>
          <w:rFonts w:ascii="Times New Roman" w:eastAsiaTheme="minorHAnsi" w:hAnsi="Times New Roman" w:cs="Times New Roman"/>
          <w:color w:val="auto"/>
          <w:sz w:val="24"/>
          <w:szCs w:val="24"/>
        </w:rPr>
        <w:t>Per Diem will be as follows: Breakfast $8.00, Lunch $10.00 and Dinner $12.00. If you stay at a hotel that provides continental breakfast the payment of $8.00 will be deducted from your per diem. If you attend conferences that provide meals, per diem will be deducted as well.</w:t>
      </w:r>
      <w:r w:rsidR="00315AC4" w:rsidRPr="00485747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14:paraId="54442F1D" w14:textId="77777777" w:rsidR="00485747" w:rsidRPr="005D6687" w:rsidRDefault="00175691" w:rsidP="00FD28A4">
      <w:pPr>
        <w:rPr>
          <w:rFonts w:ascii="Times New Roman" w:eastAsiaTheme="minorHAnsi" w:hAnsi="Times New Roman" w:cs="Times New Roman"/>
          <w:b/>
          <w:color w:val="auto"/>
          <w:sz w:val="24"/>
          <w:szCs w:val="24"/>
        </w:rPr>
      </w:pPr>
      <w:r w:rsidRPr="005D668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Invoices for purchase</w:t>
      </w:r>
      <w:r w:rsidR="00485747" w:rsidRPr="005D668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s</w:t>
      </w:r>
      <w:r w:rsidRPr="005D668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not approved will not be paid by the College. All unauthorized purchases are</w:t>
      </w:r>
      <w:r w:rsidR="00485747" w:rsidRPr="005D6687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the responsibility of the purchaser.</w:t>
      </w:r>
    </w:p>
    <w:p w14:paraId="5C5D51BD" w14:textId="3E82CBA6" w:rsidR="00F1550D" w:rsidRPr="00FD28A4" w:rsidRDefault="00FD28A4" w:rsidP="00FD28A4">
      <w:pPr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FD28A4">
        <w:rPr>
          <w:rFonts w:ascii="Times New Roman" w:eastAsiaTheme="minorHAnsi" w:hAnsi="Times New Roman" w:cs="Times New Roman"/>
          <w:color w:val="auto"/>
          <w:sz w:val="24"/>
          <w:szCs w:val="24"/>
        </w:rPr>
        <w:t>Failure to adhere to these guidelines will result in the denial of the request.</w:t>
      </w:r>
    </w:p>
    <w:p w14:paraId="0315A2F2" w14:textId="75553580" w:rsidR="008B74AE" w:rsidRDefault="008B74AE" w:rsidP="00A77B82">
      <w:pPr>
        <w:spacing w:after="0"/>
      </w:pPr>
    </w:p>
    <w:sectPr w:rsidR="008B74AE" w:rsidSect="00A77B82">
      <w:footerReference w:type="default" r:id="rId8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BEC2A" w14:textId="77777777" w:rsidR="00EE43FB" w:rsidRDefault="00EE43FB" w:rsidP="00A77B82">
      <w:pPr>
        <w:spacing w:after="0" w:line="240" w:lineRule="auto"/>
      </w:pPr>
      <w:r>
        <w:separator/>
      </w:r>
    </w:p>
  </w:endnote>
  <w:endnote w:type="continuationSeparator" w:id="0">
    <w:p w14:paraId="4A08EA43" w14:textId="77777777" w:rsidR="00EE43FB" w:rsidRDefault="00EE43FB" w:rsidP="00A7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56167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46568E7" w14:textId="60458DC7" w:rsidR="00A66E07" w:rsidRDefault="00A66E0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D1AAC0" w14:textId="68AA442C" w:rsidR="00A77B82" w:rsidRPr="00A66E07" w:rsidRDefault="00A77B82" w:rsidP="00A66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82A65" w14:textId="77777777" w:rsidR="00EE43FB" w:rsidRDefault="00EE43FB" w:rsidP="00A77B82">
      <w:pPr>
        <w:spacing w:after="0" w:line="240" w:lineRule="auto"/>
      </w:pPr>
      <w:r>
        <w:separator/>
      </w:r>
    </w:p>
  </w:footnote>
  <w:footnote w:type="continuationSeparator" w:id="0">
    <w:p w14:paraId="7EEED408" w14:textId="77777777" w:rsidR="00EE43FB" w:rsidRDefault="00EE43FB" w:rsidP="00A77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12E87"/>
    <w:multiLevelType w:val="hybridMultilevel"/>
    <w:tmpl w:val="5F22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8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ztTAytDAwNrC0NDFT0lEKTi0uzszPAykwqQUAydIguiwAAAA="/>
  </w:docVars>
  <w:rsids>
    <w:rsidRoot w:val="008B74AE"/>
    <w:rsid w:val="00175691"/>
    <w:rsid w:val="00260BF0"/>
    <w:rsid w:val="00315AC4"/>
    <w:rsid w:val="0041288A"/>
    <w:rsid w:val="00485747"/>
    <w:rsid w:val="004E0F57"/>
    <w:rsid w:val="005D6687"/>
    <w:rsid w:val="00696155"/>
    <w:rsid w:val="0072455D"/>
    <w:rsid w:val="007806F0"/>
    <w:rsid w:val="008430A7"/>
    <w:rsid w:val="008B74AE"/>
    <w:rsid w:val="00980002"/>
    <w:rsid w:val="00A66E07"/>
    <w:rsid w:val="00A77B82"/>
    <w:rsid w:val="00BF48AB"/>
    <w:rsid w:val="00CD0163"/>
    <w:rsid w:val="00D347B8"/>
    <w:rsid w:val="00D72E10"/>
    <w:rsid w:val="00EE43FB"/>
    <w:rsid w:val="00F1550D"/>
    <w:rsid w:val="00F640B7"/>
    <w:rsid w:val="00FD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50E0F"/>
  <w15:docId w15:val="{566FFA63-D607-48A2-8345-19C9F8F24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1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77"/>
      <w:jc w:val="center"/>
      <w:outlineLvl w:val="1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A77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B8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77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B82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8AB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Edmunds, Linda</dc:creator>
  <cp:keywords/>
  <cp:lastModifiedBy>Kimberly Dickerson</cp:lastModifiedBy>
  <cp:revision>7</cp:revision>
  <cp:lastPrinted>2019-07-15T21:42:00Z</cp:lastPrinted>
  <dcterms:created xsi:type="dcterms:W3CDTF">2019-01-10T16:13:00Z</dcterms:created>
  <dcterms:modified xsi:type="dcterms:W3CDTF">2025-01-28T18:27:00Z</dcterms:modified>
</cp:coreProperties>
</file>